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Oral Testimony of Mihir Torsekar, Senior Economist, Coalition for a Prosperous America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Chairman Scott, Ranking Member Gillibrand, and Members of the Committee, thank you for the opportunity to testify.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My name is Mihir Torsekar, Senior Economist at the Coalition for a Prosperous America. I am presenting CPA’s research on generic drug manufacturing, led by my colleague Andrew Rechenberg, including our report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 Hollowing Out of America’s Medicine Cabinet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generic plants America has lost over the past decade held every FDA approval and every permit they needed. They closed because the price of the medicines they made fell below the cost of making them reliably. Regulatory reform is necessary. On its own, it produces faster approvals for plants that cannot stay open.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United States now makes 27% of the medicine it consumes, down from 72% in 2002.</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Two categories of medicine show what that means. The first is liquid acetaminophen and ibuprofen, the medicines for patients who cannot swallow a tablet. </w:t>
      </w:r>
      <w:r w:rsidDel="00000000" w:rsidR="00000000" w:rsidRPr="00000000">
        <w:rPr>
          <w:rtl w:val="0"/>
        </w:rPr>
        <w:t xml:space="preserve">Imports have doubled since early 2024. Since January of last year, India has supplied 83% of them, and China has supplied 99% of the imported ibuprofen ingredient.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second category is eleven tablets that tens of millions of Americans take every morning for blood pressure, heart failure, diabetes, and seizures. The United States imports 78% of its solid oral generics. India makes 61% of what we dispense, and American plants make 22%.</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China subsidized the chemistry, and India subsidized the finishing. At home, three buying groups control 90% of generic purchasing and award contracts </w:t>
      </w:r>
      <w:r w:rsidDel="00000000" w:rsidR="00000000" w:rsidRPr="00000000">
        <w:rPr>
          <w:rtl w:val="0"/>
        </w:rPr>
        <w:t xml:space="preserve">at the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lowest price. Amlodipine now sells for a penny and a half a tablet. </w:t>
      </w:r>
      <w:r w:rsidDel="00000000" w:rsidR="00000000" w:rsidRPr="00000000">
        <w:rPr>
          <w:rtl w:val="0"/>
        </w:rPr>
        <w:t xml:space="preserve">At those prices, plants in West Virginia, Maryland, and Alabama all closed over the past decade, rendered unprofitable by American generic prices on a playing field tilted toward India.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Nearly half of the shortages that began this year involve a drug with a single supplier, so one plant's problem becomes a national shortage.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There are 227 active shortages today, and the average one lasts more than five years.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Oversight is tilted as well. Domestic plants are inspected without warning, while foreign plants received advance notice nearly 90% of the time and many went five years or more with no FDA visit. Generics made in India are associated with 54% more serious adverse events than the same drugs made here.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Reliable domestic supply is cheap. Only 36 cents of every retail generic dollar reaches the manufacturer. If making a generic in America costs about 40% more on average than in India, the premium for reshoring is only 6.6 cents on the retail dollar. In CPA’s case study, reshoring pays for itself if it cuts the annual risk of a major shortage by about one percentage point. And roughly 30 billion doses of FDA-approved generic capacity already sit idle.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CPA proposes five reforms.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fix the FDA approval process. Make priority review for U.S.-made generics permanent, and let American plants that use ingredients from trusted MRA sources qualify.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Second, apply one inspection standard everywhere. Foreign plants should face unannounced inspections at domestic frequency, and high-risk imports should be independently tested.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Third, clear the path for new plants. Use the GDUFA reauthorization now to raise and index the foreign facility surcharge and spend it on inspectors, and put a clock on permitting for essential-medicine facilities.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Fourth, pay for reliability. Finalize CMS’s domestic-procurement designation, sign multi-year federal contracts, and pass the PILLS Act. Then use Section 708 of the Defense Production Act to bring the buying alliances that control 90% of generic purchasing to the table under a voluntary agreement. That authority is permanent, and HHS can use it now.</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Fifth, fix the market economics. Set the generic tariff as a specific duty, cents per dose, on imports from high-risk countries, with trusted MRA supply at low or zero rates. A 100% tariff on a penny-and-a-half tablet adds a penny and a half, and it moves nothing. The duty should arrive sooner rather than later, and the contracts should be signed now.</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None of this raises costs for seniors at the pharmacy counter. The domestic premium is under a dollar a prescription, and it falls on the 36 cents of each dollar that reaches the manufacturer. What reaches seniors is the shortage.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Paying for resilience by design costs cents on the dollar. Paying for it during a shortage costs hospitals hundreds of millions of dollars and costs older Americans their medicines. Congress can choose the cheaper option, and it should choose it now.</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Thank you.</w:t>
      </w:r>
    </w:p>
    <w:sectPr>
      <w:headerReference r:id="rId6" w:type="default"/>
      <w:pgSz w:h="15840" w:w="12240" w:orient="portrait"/>
      <w:pgMar w:bottom="1440" w:top="1728" w:left="1440" w:right="1440" w:header="432"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center"/>
      <w:tblLayout w:type="fixed"/>
      <w:tblLook w:val="0400"/>
    </w:tblPr>
    <w:tblGrid>
      <w:gridCol w:w="7200"/>
      <w:gridCol w:w="2160"/>
      <w:tblGridChange w:id="0">
        <w:tblGrid>
          <w:gridCol w:w="7200"/>
          <w:gridCol w:w="2160"/>
        </w:tblGrid>
      </w:tblGridChange>
    </w:tblGrid>
    <w:tr>
      <w:trPr>
        <w:cantSplit w:val="0"/>
        <w:tblHeader w:val="0"/>
      </w:trPr>
      <w:tc>
        <w:tcPr>
          <w:tcBorders>
            <w:bottom w:color="000000" w:space="0" w:sz="6" w:val="single"/>
          </w:tcBorders>
          <w:vAlign w:val="center"/>
        </w:tcPr>
        <w:p w:rsidR="00000000" w:rsidDel="00000000" w:rsidP="00000000" w:rsidRDefault="00000000" w:rsidRPr="00000000" w14:paraId="00000016">
          <w:pPr>
            <w:spacing w:after="0" w:lineRule="auto"/>
            <w:rPr/>
          </w:pPr>
          <w:r w:rsidDel="00000000" w:rsidR="00000000" w:rsidRPr="00000000">
            <w:rPr>
              <w:rFonts w:ascii="Arial" w:cs="Arial" w:eastAsia="Arial" w:hAnsi="Arial"/>
              <w:sz w:val="17"/>
              <w:szCs w:val="17"/>
              <w:rtl w:val="0"/>
            </w:rPr>
            <w:t xml:space="preserve">Leveling the Playing Field: Restoring America’s Edge in Generic Drug Manufacturing</w:t>
          </w: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rFonts w:ascii="Arial" w:cs="Arial" w:eastAsia="Arial" w:hAnsi="Arial"/>
              <w:sz w:val="17"/>
              <w:szCs w:val="17"/>
              <w:rtl w:val="0"/>
            </w:rPr>
            <w:t xml:space="preserve">Senate Special Committee on Aging · September 23, 2026 · Page </w:t>
          </w:r>
          <w:r w:rsidDel="00000000" w:rsidR="00000000" w:rsidRPr="00000000">
            <w:rPr>
              <w:rFonts w:ascii="Arial" w:cs="Arial" w:eastAsia="Arial" w:hAnsi="Arial"/>
              <w:sz w:val="17"/>
              <w:szCs w:val="17"/>
            </w:rPr>
            <w:fldChar w:fldCharType="begin"/>
            <w:instrText xml:space="preserve">PAGE</w:instrText>
            <w:fldChar w:fldCharType="separate"/>
            <w:fldChar w:fldCharType="end"/>
          </w:r>
          <w:r w:rsidDel="00000000" w:rsidR="00000000" w:rsidRPr="00000000">
            <w:rPr>
              <w:rFonts w:ascii="Arial" w:cs="Arial" w:eastAsia="Arial" w:hAnsi="Arial"/>
              <w:sz w:val="17"/>
              <w:szCs w:val="17"/>
              <w:rtl w:val="0"/>
            </w:rPr>
            <w:t xml:space="preserve"> of </w:t>
          </w:r>
          <w:r w:rsidDel="00000000" w:rsidR="00000000" w:rsidRPr="00000000">
            <w:rPr>
              <w:rFonts w:ascii="Arial" w:cs="Arial" w:eastAsia="Arial" w:hAnsi="Arial"/>
              <w:sz w:val="17"/>
              <w:szCs w:val="17"/>
            </w:rPr>
            <w:fldChar w:fldCharType="begin"/>
            <w:instrText xml:space="preserve">NUMPAGES</w:instrText>
            <w:fldChar w:fldCharType="separate"/>
            <w:fldChar w:fldCharType="end"/>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18">
          <w:pPr>
            <w:spacing w:after="0" w:lineRule="auto"/>
            <w:jc w:val="right"/>
            <w:rPr/>
          </w:pPr>
          <w:r w:rsidDel="00000000" w:rsidR="00000000" w:rsidRPr="00000000">
            <w:rPr/>
            <w:drawing>
              <wp:inline distB="0" distT="0" distL="114300" distR="114300">
                <wp:extent cx="1188720" cy="26800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8720" cy="26800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20" w:line="276" w:lineRule="auto"/>
    </w:pPr>
    <w:rPr>
      <w:rFonts w:ascii="Arial" w:cs="Arial" w:eastAsia="Arial" w:hAnsi="Arial"/>
      <w:b w:val="0"/>
      <w:bCs w:val="0"/>
      <w:i w:val="0"/>
      <w:iCs w:val="0"/>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0"/>
      <w:bCs w:val="0"/>
      <w:i w:val="0"/>
      <w:iCs w:val="0"/>
      <w:color w:val="000000"/>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spacing w:after="120" w:before="0" w:line="276" w:lineRule="auto"/>
      <w:jc w:val="left"/>
    </w:pPr>
    <w:rPr>
      <w:rFonts w:ascii="Arial" w:cs="Arial" w:eastAsia="Arial" w:hAnsi="Arial"/>
      <w:b w:val="0"/>
      <w:bCs w:val="0"/>
      <w:i w:val="0"/>
      <w:iCs w:val="0"/>
      <w:color w:val="000000"/>
      <w:sz w:val="36"/>
      <w:szCs w:val="36"/>
    </w:rPr>
  </w:style>
  <w:style w:type="paragraph" w:styleId="Subtitle">
    <w:name w:val="Subtitle"/>
    <w:basedOn w:val="Normal"/>
    <w:next w:val="Normal"/>
    <w:pPr>
      <w:spacing w:after="200" w:before="0" w:line="276" w:lineRule="auto"/>
      <w:jc w:val="left"/>
    </w:pPr>
    <w:rPr>
      <w:rFonts w:ascii="Arial" w:cs="Arial" w:eastAsia="Arial" w:hAnsi="Arial"/>
      <w:b w:val="0"/>
      <w:bCs w:val="0"/>
      <w:i w:val="0"/>
      <w:iCs w:val="0"/>
      <w:color w:val="000000"/>
      <w:sz w:val="36"/>
      <w:szCs w:val="36"/>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